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AA" w:rsidRDefault="00F00EAA" w:rsidP="00F00EAA">
      <w:pPr>
        <w:pStyle w:val="Heading1"/>
        <w:rPr>
          <w:b/>
        </w:rPr>
      </w:pPr>
      <w:r>
        <w:rPr>
          <w:b/>
        </w:rPr>
        <w:t xml:space="preserve">Procedure for JIVE </w:t>
      </w:r>
      <w:r w:rsidR="00DF4A32">
        <w:rPr>
          <w:b/>
        </w:rPr>
        <w:t>press r</w:t>
      </w:r>
      <w:r w:rsidR="001B3F17">
        <w:rPr>
          <w:b/>
        </w:rPr>
        <w:t>eleases</w:t>
      </w:r>
    </w:p>
    <w:p w:rsidR="00F00EAA" w:rsidRDefault="00F00EAA" w:rsidP="00F00EAA"/>
    <w:p w:rsidR="00DF4A32" w:rsidRPr="00DF4A32" w:rsidRDefault="00DF4A32" w:rsidP="00DF4A32">
      <w:pPr>
        <w:rPr>
          <w:rFonts w:ascii="Calibri Light" w:eastAsia="Calibri" w:hAnsi="Calibri Light" w:cs="Times New Roman"/>
          <w:sz w:val="22"/>
        </w:rPr>
      </w:pPr>
      <w:r w:rsidRPr="00DF4A32">
        <w:rPr>
          <w:rFonts w:ascii="Calibri Light" w:eastAsia="Calibri" w:hAnsi="Calibri Light" w:cs="Times New Roman"/>
          <w:sz w:val="22"/>
        </w:rPr>
        <w:t xml:space="preserve">For press releases that only relate to the activity of researchers within JIVE, or with collaborators outside of the EVN, the following procedure </w:t>
      </w:r>
      <w:proofErr w:type="gramStart"/>
      <w:r w:rsidRPr="00DF4A32">
        <w:rPr>
          <w:rFonts w:ascii="Calibri Light" w:eastAsia="Calibri" w:hAnsi="Calibri Light" w:cs="Times New Roman"/>
          <w:sz w:val="22"/>
        </w:rPr>
        <w:t>is adopted</w:t>
      </w:r>
      <w:proofErr w:type="gramEnd"/>
      <w:r w:rsidRPr="00DF4A32">
        <w:rPr>
          <w:rFonts w:ascii="Calibri Light" w:eastAsia="Calibri" w:hAnsi="Calibri Light" w:cs="Times New Roman"/>
          <w:sz w:val="22"/>
        </w:rPr>
        <w:t>.</w:t>
      </w:r>
    </w:p>
    <w:p w:rsidR="00DF4A32" w:rsidRPr="00DF4A32" w:rsidRDefault="00DF4A32" w:rsidP="00DF4A32">
      <w:pPr>
        <w:rPr>
          <w:rFonts w:ascii="Calibri Light" w:eastAsia="Calibri" w:hAnsi="Calibri Light" w:cs="Times New Roman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F4A32" w:rsidRPr="00DF4A32" w:rsidTr="00B32706"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b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b/>
                <w:sz w:val="22"/>
              </w:rPr>
              <w:t>TIMING (minimum)</w:t>
            </w:r>
          </w:p>
        </w:tc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b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b/>
                <w:sz w:val="22"/>
              </w:rPr>
              <w:t>RESPONSIBILITY</w:t>
            </w:r>
          </w:p>
        </w:tc>
        <w:tc>
          <w:tcPr>
            <w:tcW w:w="3006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b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b/>
                <w:sz w:val="22"/>
              </w:rPr>
              <w:t>INFORMATION</w:t>
            </w:r>
          </w:p>
        </w:tc>
      </w:tr>
      <w:tr w:rsidR="00DF4A32" w:rsidRPr="00DF4A32" w:rsidTr="00B32706"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>As early as possible</w:t>
            </w:r>
          </w:p>
        </w:tc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 xml:space="preserve">Authors </w:t>
            </w:r>
          </w:p>
        </w:tc>
        <w:tc>
          <w:tcPr>
            <w:tcW w:w="3006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 xml:space="preserve">Contact JIVE </w:t>
            </w:r>
            <w:proofErr w:type="spellStart"/>
            <w:r w:rsidRPr="00DF4A32">
              <w:rPr>
                <w:rFonts w:ascii="Calibri Light" w:eastAsia="Calibri" w:hAnsi="Calibri Light" w:cs="Times New Roman"/>
                <w:sz w:val="22"/>
              </w:rPr>
              <w:t>comms</w:t>
            </w:r>
            <w:proofErr w:type="spellEnd"/>
            <w:r w:rsidRPr="00DF4A32">
              <w:rPr>
                <w:rFonts w:ascii="Calibri Light" w:eastAsia="Calibri" w:hAnsi="Calibri Light" w:cs="Times New Roman"/>
                <w:sz w:val="22"/>
              </w:rPr>
              <w:t xml:space="preserve"> team to notify of upcoming publication</w:t>
            </w:r>
          </w:p>
        </w:tc>
      </w:tr>
      <w:tr w:rsidR="00DF4A32" w:rsidRPr="00DF4A32" w:rsidTr="00B32706"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</w:p>
        </w:tc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>Authors</w:t>
            </w:r>
          </w:p>
        </w:tc>
        <w:tc>
          <w:tcPr>
            <w:tcW w:w="3006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 xml:space="preserve">Notify JIVE </w:t>
            </w:r>
            <w:proofErr w:type="spellStart"/>
            <w:r w:rsidRPr="00DF4A32">
              <w:rPr>
                <w:rFonts w:ascii="Calibri Light" w:eastAsia="Calibri" w:hAnsi="Calibri Light" w:cs="Times New Roman"/>
                <w:sz w:val="22"/>
              </w:rPr>
              <w:t>comms</w:t>
            </w:r>
            <w:proofErr w:type="spellEnd"/>
            <w:r w:rsidRPr="00DF4A32">
              <w:rPr>
                <w:rFonts w:ascii="Calibri Light" w:eastAsia="Calibri" w:hAnsi="Calibri Light" w:cs="Times New Roman"/>
                <w:sz w:val="22"/>
              </w:rPr>
              <w:t xml:space="preserve"> team of embargo or publication date</w:t>
            </w:r>
          </w:p>
        </w:tc>
      </w:tr>
      <w:tr w:rsidR="00DF4A32" w:rsidRPr="00DF4A32" w:rsidTr="00B32706"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</w:p>
        </w:tc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>Authors</w:t>
            </w:r>
          </w:p>
        </w:tc>
        <w:tc>
          <w:tcPr>
            <w:tcW w:w="3006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 xml:space="preserve">Provide JIVE </w:t>
            </w:r>
            <w:proofErr w:type="spellStart"/>
            <w:r w:rsidRPr="00DF4A32">
              <w:rPr>
                <w:rFonts w:ascii="Calibri Light" w:eastAsia="Calibri" w:hAnsi="Calibri Light" w:cs="Times New Roman"/>
                <w:sz w:val="22"/>
              </w:rPr>
              <w:t>comms</w:t>
            </w:r>
            <w:proofErr w:type="spellEnd"/>
            <w:r w:rsidRPr="00DF4A32">
              <w:rPr>
                <w:rFonts w:ascii="Calibri Light" w:eastAsia="Calibri" w:hAnsi="Calibri Light" w:cs="Times New Roman"/>
                <w:sz w:val="22"/>
              </w:rPr>
              <w:t xml:space="preserve"> team with a copy of the publication</w:t>
            </w:r>
          </w:p>
        </w:tc>
      </w:tr>
      <w:tr w:rsidR="00DF4A32" w:rsidRPr="00DF4A32" w:rsidTr="00B32706"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</w:p>
        </w:tc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 xml:space="preserve">Authors and JIVE </w:t>
            </w:r>
            <w:proofErr w:type="spellStart"/>
            <w:r w:rsidRPr="00DF4A32">
              <w:rPr>
                <w:rFonts w:ascii="Calibri Light" w:eastAsia="Calibri" w:hAnsi="Calibri Light" w:cs="Times New Roman"/>
                <w:sz w:val="22"/>
              </w:rPr>
              <w:t>comms</w:t>
            </w:r>
            <w:proofErr w:type="spellEnd"/>
          </w:p>
        </w:tc>
        <w:tc>
          <w:tcPr>
            <w:tcW w:w="3006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>Contact other organisations to coordinate with construction of press release</w:t>
            </w:r>
          </w:p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i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i/>
                <w:sz w:val="22"/>
              </w:rPr>
              <w:t xml:space="preserve">If lead author is from an external organisation, the </w:t>
            </w:r>
            <w:proofErr w:type="spellStart"/>
            <w:r w:rsidRPr="00DF4A32">
              <w:rPr>
                <w:rFonts w:ascii="Calibri Light" w:eastAsia="Calibri" w:hAnsi="Calibri Light" w:cs="Times New Roman"/>
                <w:i/>
                <w:sz w:val="22"/>
              </w:rPr>
              <w:t>comms</w:t>
            </w:r>
            <w:proofErr w:type="spellEnd"/>
            <w:r w:rsidRPr="00DF4A32">
              <w:rPr>
                <w:rFonts w:ascii="Calibri Light" w:eastAsia="Calibri" w:hAnsi="Calibri Light" w:cs="Times New Roman"/>
                <w:i/>
                <w:sz w:val="22"/>
              </w:rPr>
              <w:t xml:space="preserve"> team there should lead the press release</w:t>
            </w:r>
          </w:p>
        </w:tc>
      </w:tr>
      <w:tr w:rsidR="00DF4A32" w:rsidRPr="00DF4A32" w:rsidTr="00B32706"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>Two weeks to embargo</w:t>
            </w:r>
          </w:p>
        </w:tc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 xml:space="preserve">JIVE </w:t>
            </w:r>
            <w:proofErr w:type="spellStart"/>
            <w:r w:rsidRPr="00DF4A32">
              <w:rPr>
                <w:rFonts w:ascii="Calibri Light" w:eastAsia="Calibri" w:hAnsi="Calibri Light" w:cs="Times New Roman"/>
                <w:sz w:val="22"/>
              </w:rPr>
              <w:t>comms</w:t>
            </w:r>
            <w:proofErr w:type="spellEnd"/>
            <w:r w:rsidRPr="00DF4A32">
              <w:rPr>
                <w:rFonts w:ascii="Calibri Light" w:eastAsia="Calibri" w:hAnsi="Calibri Light" w:cs="Times New Roman"/>
                <w:sz w:val="22"/>
              </w:rPr>
              <w:t xml:space="preserve"> </w:t>
            </w:r>
          </w:p>
        </w:tc>
        <w:tc>
          <w:tcPr>
            <w:tcW w:w="3006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>If leading - provide authors with press release template or request details from study</w:t>
            </w:r>
          </w:p>
        </w:tc>
      </w:tr>
      <w:tr w:rsidR="00DF4A32" w:rsidRPr="00DF4A32" w:rsidTr="00B32706"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</w:p>
        </w:tc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 xml:space="preserve">JIVE </w:t>
            </w:r>
            <w:proofErr w:type="spellStart"/>
            <w:r w:rsidRPr="00DF4A32">
              <w:rPr>
                <w:rFonts w:ascii="Calibri Light" w:eastAsia="Calibri" w:hAnsi="Calibri Light" w:cs="Times New Roman"/>
                <w:sz w:val="22"/>
              </w:rPr>
              <w:t>comms</w:t>
            </w:r>
            <w:proofErr w:type="spellEnd"/>
          </w:p>
        </w:tc>
        <w:tc>
          <w:tcPr>
            <w:tcW w:w="3006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>Source images/animations if authors or other organisations have not already done so</w:t>
            </w:r>
          </w:p>
        </w:tc>
      </w:tr>
      <w:tr w:rsidR="00DF4A32" w:rsidRPr="00DF4A32" w:rsidTr="00B32706"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</w:p>
        </w:tc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 xml:space="preserve">Authors and JIVE </w:t>
            </w:r>
            <w:proofErr w:type="spellStart"/>
            <w:r w:rsidRPr="00DF4A32">
              <w:rPr>
                <w:rFonts w:ascii="Calibri Light" w:eastAsia="Calibri" w:hAnsi="Calibri Light" w:cs="Times New Roman"/>
                <w:sz w:val="22"/>
              </w:rPr>
              <w:t>comms</w:t>
            </w:r>
            <w:proofErr w:type="spellEnd"/>
          </w:p>
        </w:tc>
        <w:tc>
          <w:tcPr>
            <w:tcW w:w="3006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>If leading - agree final draft of press release</w:t>
            </w:r>
          </w:p>
        </w:tc>
      </w:tr>
      <w:tr w:rsidR="00DF4A32" w:rsidRPr="00DF4A32" w:rsidTr="00B32706"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 xml:space="preserve">One week to embargo </w:t>
            </w:r>
          </w:p>
        </w:tc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 xml:space="preserve">JIVE </w:t>
            </w:r>
            <w:proofErr w:type="spellStart"/>
            <w:r w:rsidRPr="00DF4A32">
              <w:rPr>
                <w:rFonts w:ascii="Calibri Light" w:eastAsia="Calibri" w:hAnsi="Calibri Light" w:cs="Times New Roman"/>
                <w:sz w:val="22"/>
              </w:rPr>
              <w:t>comms</w:t>
            </w:r>
            <w:proofErr w:type="spellEnd"/>
            <w:r w:rsidRPr="00DF4A32">
              <w:rPr>
                <w:rFonts w:ascii="Calibri Light" w:eastAsia="Calibri" w:hAnsi="Calibri Light" w:cs="Times New Roman"/>
                <w:sz w:val="22"/>
              </w:rPr>
              <w:t xml:space="preserve"> </w:t>
            </w:r>
          </w:p>
        </w:tc>
        <w:tc>
          <w:tcPr>
            <w:tcW w:w="3006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>If leading - circulate press release to external organisations</w:t>
            </w:r>
          </w:p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i/>
                <w:sz w:val="22"/>
              </w:rPr>
              <w:t>Edit existing press release from external organisation</w:t>
            </w:r>
          </w:p>
        </w:tc>
      </w:tr>
      <w:tr w:rsidR="00DF4A32" w:rsidRPr="00DF4A32" w:rsidTr="00B32706"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</w:p>
        </w:tc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 xml:space="preserve">JIVE </w:t>
            </w:r>
            <w:proofErr w:type="spellStart"/>
            <w:r w:rsidRPr="00DF4A32">
              <w:rPr>
                <w:rFonts w:ascii="Calibri Light" w:eastAsia="Calibri" w:hAnsi="Calibri Light" w:cs="Times New Roman"/>
                <w:sz w:val="22"/>
              </w:rPr>
              <w:t>comms</w:t>
            </w:r>
            <w:proofErr w:type="spellEnd"/>
          </w:p>
        </w:tc>
        <w:tc>
          <w:tcPr>
            <w:tcW w:w="3006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>Circulate associated materials e.g. images if not included in the original press release</w:t>
            </w:r>
          </w:p>
        </w:tc>
      </w:tr>
      <w:tr w:rsidR="00DF4A32" w:rsidRPr="00DF4A32" w:rsidTr="00B32706"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</w:p>
        </w:tc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 xml:space="preserve">JIVE </w:t>
            </w:r>
            <w:proofErr w:type="spellStart"/>
            <w:r w:rsidRPr="00DF4A32">
              <w:rPr>
                <w:rFonts w:ascii="Calibri Light" w:eastAsia="Calibri" w:hAnsi="Calibri Light" w:cs="Times New Roman"/>
                <w:sz w:val="22"/>
              </w:rPr>
              <w:t>comms</w:t>
            </w:r>
            <w:proofErr w:type="spellEnd"/>
          </w:p>
        </w:tc>
        <w:tc>
          <w:tcPr>
            <w:tcW w:w="3006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>If leading circulate press release on appropriate lists (e.g. AAS)</w:t>
            </w:r>
          </w:p>
        </w:tc>
      </w:tr>
      <w:tr w:rsidR="00DF4A32" w:rsidRPr="00DF4A32" w:rsidTr="00B32706"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</w:p>
        </w:tc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 xml:space="preserve">JIVE </w:t>
            </w:r>
            <w:proofErr w:type="spellStart"/>
            <w:r w:rsidRPr="00DF4A32">
              <w:rPr>
                <w:rFonts w:ascii="Calibri Light" w:eastAsia="Calibri" w:hAnsi="Calibri Light" w:cs="Times New Roman"/>
                <w:sz w:val="22"/>
              </w:rPr>
              <w:t>comms</w:t>
            </w:r>
            <w:proofErr w:type="spellEnd"/>
            <w:r w:rsidRPr="00DF4A32">
              <w:rPr>
                <w:rFonts w:ascii="Calibri Light" w:eastAsia="Calibri" w:hAnsi="Calibri Light" w:cs="Times New Roman"/>
                <w:sz w:val="22"/>
              </w:rPr>
              <w:t xml:space="preserve"> and authors</w:t>
            </w:r>
          </w:p>
        </w:tc>
        <w:tc>
          <w:tcPr>
            <w:tcW w:w="3006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>Manage queries from press</w:t>
            </w:r>
          </w:p>
        </w:tc>
      </w:tr>
      <w:tr w:rsidR="00DF4A32" w:rsidRPr="00DF4A32" w:rsidTr="00B32706"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</w:p>
        </w:tc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 xml:space="preserve">JIVE </w:t>
            </w:r>
            <w:proofErr w:type="spellStart"/>
            <w:r w:rsidRPr="00DF4A32">
              <w:rPr>
                <w:rFonts w:ascii="Calibri Light" w:eastAsia="Calibri" w:hAnsi="Calibri Light" w:cs="Times New Roman"/>
                <w:sz w:val="22"/>
              </w:rPr>
              <w:t>comms</w:t>
            </w:r>
            <w:proofErr w:type="spellEnd"/>
          </w:p>
        </w:tc>
        <w:tc>
          <w:tcPr>
            <w:tcW w:w="3006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 xml:space="preserve">Schedule associated social media </w:t>
            </w:r>
          </w:p>
        </w:tc>
      </w:tr>
      <w:tr w:rsidR="00DF4A32" w:rsidRPr="00DF4A32" w:rsidTr="00B32706"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>Embargo date</w:t>
            </w:r>
          </w:p>
        </w:tc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 xml:space="preserve">JIVE </w:t>
            </w:r>
            <w:proofErr w:type="spellStart"/>
            <w:r w:rsidRPr="00DF4A32">
              <w:rPr>
                <w:rFonts w:ascii="Calibri Light" w:eastAsia="Calibri" w:hAnsi="Calibri Light" w:cs="Times New Roman"/>
                <w:sz w:val="22"/>
              </w:rPr>
              <w:t>comms</w:t>
            </w:r>
            <w:proofErr w:type="spellEnd"/>
          </w:p>
        </w:tc>
        <w:tc>
          <w:tcPr>
            <w:tcW w:w="3006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 xml:space="preserve">Release and publicise material </w:t>
            </w:r>
          </w:p>
        </w:tc>
      </w:tr>
      <w:tr w:rsidR="00DF4A32" w:rsidRPr="00DF4A32" w:rsidTr="00B32706"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</w:p>
        </w:tc>
        <w:tc>
          <w:tcPr>
            <w:tcW w:w="3005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 xml:space="preserve">JIVE </w:t>
            </w:r>
            <w:proofErr w:type="spellStart"/>
            <w:r w:rsidRPr="00DF4A32">
              <w:rPr>
                <w:rFonts w:ascii="Calibri Light" w:eastAsia="Calibri" w:hAnsi="Calibri Light" w:cs="Times New Roman"/>
                <w:sz w:val="22"/>
              </w:rPr>
              <w:t>comms</w:t>
            </w:r>
            <w:proofErr w:type="spellEnd"/>
            <w:r w:rsidRPr="00DF4A32">
              <w:rPr>
                <w:rFonts w:ascii="Calibri Light" w:eastAsia="Calibri" w:hAnsi="Calibri Light" w:cs="Times New Roman"/>
                <w:sz w:val="22"/>
              </w:rPr>
              <w:t xml:space="preserve"> and authors</w:t>
            </w:r>
          </w:p>
        </w:tc>
        <w:tc>
          <w:tcPr>
            <w:tcW w:w="3006" w:type="dxa"/>
          </w:tcPr>
          <w:p w:rsidR="00DF4A32" w:rsidRPr="00DF4A32" w:rsidRDefault="00DF4A32" w:rsidP="00DF4A32">
            <w:pPr>
              <w:rPr>
                <w:rFonts w:ascii="Calibri Light" w:eastAsia="Calibri" w:hAnsi="Calibri Light" w:cs="Times New Roman"/>
                <w:sz w:val="22"/>
              </w:rPr>
            </w:pPr>
            <w:r w:rsidRPr="00DF4A32">
              <w:rPr>
                <w:rFonts w:ascii="Calibri Light" w:eastAsia="Calibri" w:hAnsi="Calibri Light" w:cs="Times New Roman"/>
                <w:sz w:val="22"/>
              </w:rPr>
              <w:t>Manage queries from press</w:t>
            </w:r>
          </w:p>
        </w:tc>
      </w:tr>
    </w:tbl>
    <w:p w:rsidR="00DF4A32" w:rsidRDefault="00DF4A32" w:rsidP="00DF4A32"/>
    <w:p w:rsidR="00F00EAA" w:rsidRPr="00DF4A32" w:rsidRDefault="00F00EAA" w:rsidP="00F00EAA">
      <w:pPr>
        <w:rPr>
          <w:rFonts w:asciiTheme="majorHAnsi" w:hAnsiTheme="majorHAnsi" w:cstheme="majorHAnsi"/>
        </w:rPr>
      </w:pPr>
      <w:r w:rsidRPr="00DF4A32">
        <w:rPr>
          <w:rFonts w:asciiTheme="majorHAnsi" w:hAnsiTheme="majorHAnsi" w:cstheme="majorHAnsi"/>
        </w:rPr>
        <w:t xml:space="preserve">When embarking on the process above it would be best if this </w:t>
      </w:r>
      <w:proofErr w:type="gramStart"/>
      <w:r w:rsidRPr="00DF4A32">
        <w:rPr>
          <w:rFonts w:asciiTheme="majorHAnsi" w:hAnsiTheme="majorHAnsi" w:cstheme="majorHAnsi"/>
        </w:rPr>
        <w:t>were done</w:t>
      </w:r>
      <w:proofErr w:type="gramEnd"/>
      <w:r w:rsidRPr="00DF4A32">
        <w:rPr>
          <w:rFonts w:asciiTheme="majorHAnsi" w:hAnsiTheme="majorHAnsi" w:cstheme="majorHAnsi"/>
        </w:rPr>
        <w:t xml:space="preserve"> in conjunction with Gina Maffey from the outset to ensure that information is circulated through the appropriate channels. However, if notifications on press releases, discussions on press releases, or </w:t>
      </w:r>
      <w:r w:rsidRPr="00DF4A32">
        <w:rPr>
          <w:rFonts w:asciiTheme="majorHAnsi" w:hAnsiTheme="majorHAnsi" w:cstheme="majorHAnsi"/>
        </w:rPr>
        <w:lastRenderedPageBreak/>
        <w:t xml:space="preserve">anything of media interest, has already begun please ensure that </w:t>
      </w:r>
      <w:hyperlink r:id="rId7" w:history="1">
        <w:r w:rsidRPr="00DF4A32">
          <w:rPr>
            <w:rStyle w:val="Hyperlink"/>
            <w:rFonts w:asciiTheme="majorHAnsi" w:hAnsiTheme="majorHAnsi" w:cstheme="majorHAnsi"/>
          </w:rPr>
          <w:t>communication</w:t>
        </w:r>
        <w:bookmarkStart w:id="0" w:name="_GoBack"/>
        <w:bookmarkEnd w:id="0"/>
        <w:r w:rsidRPr="00DF4A32">
          <w:rPr>
            <w:rStyle w:val="Hyperlink"/>
            <w:rFonts w:asciiTheme="majorHAnsi" w:hAnsiTheme="majorHAnsi" w:cstheme="majorHAnsi"/>
          </w:rPr>
          <w:t>s@jive.eu</w:t>
        </w:r>
      </w:hyperlink>
      <w:r w:rsidRPr="00DF4A32">
        <w:rPr>
          <w:rFonts w:asciiTheme="majorHAnsi" w:hAnsiTheme="majorHAnsi" w:cstheme="majorHAnsi"/>
        </w:rPr>
        <w:t xml:space="preserve"> or </w:t>
      </w:r>
      <w:hyperlink r:id="rId8" w:history="1">
        <w:r w:rsidRPr="00DF4A32">
          <w:rPr>
            <w:rStyle w:val="Hyperlink"/>
            <w:rFonts w:asciiTheme="majorHAnsi" w:hAnsiTheme="majorHAnsi" w:cstheme="majorHAnsi"/>
          </w:rPr>
          <w:t>maffey@jive.eu</w:t>
        </w:r>
      </w:hyperlink>
      <w:r w:rsidRPr="00DF4A32">
        <w:rPr>
          <w:rFonts w:asciiTheme="majorHAnsi" w:hAnsiTheme="majorHAnsi" w:cstheme="majorHAnsi"/>
        </w:rPr>
        <w:t xml:space="preserve"> are included in the email list. </w:t>
      </w:r>
    </w:p>
    <w:p w:rsidR="003B7FBC" w:rsidRPr="00DF4A32" w:rsidRDefault="003B7FBC" w:rsidP="00F00EAA">
      <w:pPr>
        <w:rPr>
          <w:rFonts w:asciiTheme="majorHAnsi" w:hAnsiTheme="majorHAnsi" w:cstheme="majorHAnsi"/>
        </w:rPr>
      </w:pPr>
    </w:p>
    <w:p w:rsidR="003B7FBC" w:rsidRPr="00DF4A32" w:rsidRDefault="00DF4A32" w:rsidP="00F00EAA">
      <w:pPr>
        <w:rPr>
          <w:rFonts w:asciiTheme="majorHAnsi" w:hAnsiTheme="majorHAnsi" w:cstheme="majorHAnsi"/>
        </w:rPr>
      </w:pPr>
      <w:r w:rsidRPr="00DF4A32">
        <w:rPr>
          <w:rFonts w:asciiTheme="majorHAnsi" w:hAnsiTheme="majorHAnsi" w:cstheme="majorHAnsi"/>
        </w:rPr>
        <w:t>[Updated 19/09</w:t>
      </w:r>
      <w:r w:rsidR="003B7FBC" w:rsidRPr="00DF4A32">
        <w:rPr>
          <w:rFonts w:asciiTheme="majorHAnsi" w:hAnsiTheme="majorHAnsi" w:cstheme="majorHAnsi"/>
        </w:rPr>
        <w:t>/18]</w:t>
      </w:r>
    </w:p>
    <w:p w:rsidR="00F00EAA" w:rsidRDefault="00F00EAA" w:rsidP="00F00EAA"/>
    <w:p w:rsidR="00F00EAA" w:rsidRPr="00E41269" w:rsidRDefault="00F00EAA" w:rsidP="00F00EAA"/>
    <w:p w:rsidR="00F00EAA" w:rsidRPr="000321C1" w:rsidRDefault="00F00EAA" w:rsidP="00F00EAA">
      <w:pPr>
        <w:outlineLvl w:val="0"/>
        <w:rPr>
          <w:rFonts w:asciiTheme="majorHAnsi" w:hAnsiTheme="majorHAnsi"/>
          <w:lang w:val="en-US"/>
        </w:rPr>
      </w:pPr>
    </w:p>
    <w:p w:rsidR="001A1618" w:rsidRPr="007E4F5F" w:rsidRDefault="001A1618">
      <w:pPr>
        <w:rPr>
          <w:rFonts w:ascii="Verdana" w:hAnsi="Verdana"/>
        </w:rPr>
      </w:pPr>
    </w:p>
    <w:sectPr w:rsidR="001A1618" w:rsidRPr="007E4F5F" w:rsidSect="005C485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57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304" w:rsidRDefault="00C53304">
      <w:r>
        <w:separator/>
      </w:r>
    </w:p>
  </w:endnote>
  <w:endnote w:type="continuationSeparator" w:id="0">
    <w:p w:rsidR="00C53304" w:rsidRDefault="00C5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3A" w:rsidRDefault="00F00EAA">
    <w:pPr>
      <w:pStyle w:val="Footer"/>
      <w:jc w:val="righ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3EE1CBE" wp14:editId="60D1483D">
          <wp:simplePos x="0" y="0"/>
          <wp:positionH relativeFrom="page">
            <wp:posOffset>768350</wp:posOffset>
          </wp:positionH>
          <wp:positionV relativeFrom="page">
            <wp:posOffset>10157754</wp:posOffset>
          </wp:positionV>
          <wp:extent cx="1441450" cy="535645"/>
          <wp:effectExtent l="0" t="0" r="6350" b="0"/>
          <wp:wrapTight wrapText="bothSides">
            <wp:wrapPolygon edited="1">
              <wp:start x="0" y="0"/>
              <wp:lineTo x="0" y="21094"/>
              <wp:lineTo x="37273" y="20925"/>
              <wp:lineTo x="21482" y="0"/>
              <wp:lineTo x="0" y="0"/>
            </wp:wrapPolygon>
          </wp:wrapTight>
          <wp:docPr id="5" name="Picture 5" descr="../../../../Desktop/jiv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Desktop/jiv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368" cy="549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4821483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A32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D55B3A" w:rsidRDefault="00C53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32285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5B3A" w:rsidRDefault="00F00E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A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2E66" w:rsidRDefault="00C53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304" w:rsidRDefault="00C53304">
      <w:r>
        <w:separator/>
      </w:r>
    </w:p>
  </w:footnote>
  <w:footnote w:type="continuationSeparator" w:id="0">
    <w:p w:rsidR="00C53304" w:rsidRDefault="00C53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A32" w:rsidRPr="00DF4A32" w:rsidRDefault="00DF4A32" w:rsidP="00DF4A32">
    <w:pPr>
      <w:pStyle w:val="Heading1"/>
      <w:jc w:val="right"/>
      <w:rPr>
        <w:b/>
        <w:color w:val="00448F"/>
        <w:lang w:val="nl-NL"/>
      </w:rPr>
    </w:pPr>
    <w:r>
      <w:rPr>
        <w:b/>
        <w:color w:val="00448F"/>
        <w:lang w:val="nl-NL"/>
      </w:rPr>
      <w:t xml:space="preserve">JIVE Communication </w:t>
    </w:r>
    <w:proofErr w:type="spellStart"/>
    <w:r>
      <w:rPr>
        <w:b/>
        <w:color w:val="00448F"/>
        <w:lang w:val="nl-NL"/>
      </w:rPr>
      <w:t>Guidelines</w:t>
    </w:r>
    <w:proofErr w:type="spellEnd"/>
  </w:p>
  <w:p w:rsidR="00F1101D" w:rsidRDefault="00C53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3EB" w:rsidRDefault="00F00EA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CD343C" wp14:editId="7659C719">
              <wp:simplePos x="0" y="0"/>
              <wp:positionH relativeFrom="column">
                <wp:posOffset>3022600</wp:posOffset>
              </wp:positionH>
              <wp:positionV relativeFrom="paragraph">
                <wp:posOffset>192405</wp:posOffset>
              </wp:positionV>
              <wp:extent cx="2815590" cy="914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559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73EB" w:rsidRPr="00A417D6" w:rsidRDefault="00DF4A32" w:rsidP="005C485F">
                          <w:pPr>
                            <w:pStyle w:val="Heading1"/>
                            <w:jc w:val="right"/>
                            <w:rPr>
                              <w:b/>
                              <w:color w:val="00448F"/>
                              <w:lang w:val="nl-NL"/>
                            </w:rPr>
                          </w:pPr>
                          <w:r>
                            <w:rPr>
                              <w:b/>
                              <w:color w:val="00448F"/>
                              <w:lang w:val="nl-NL"/>
                            </w:rPr>
                            <w:t xml:space="preserve">JIVE </w:t>
                          </w:r>
                          <w:r w:rsidR="00F00EAA">
                            <w:rPr>
                              <w:b/>
                              <w:color w:val="00448F"/>
                              <w:lang w:val="nl-NL"/>
                            </w:rPr>
                            <w:t xml:space="preserve">Communication </w:t>
                          </w:r>
                          <w:proofErr w:type="spellStart"/>
                          <w:r w:rsidR="00F00EAA">
                            <w:rPr>
                              <w:b/>
                              <w:color w:val="00448F"/>
                              <w:lang w:val="nl-NL"/>
                            </w:rPr>
                            <w:t>Guidelines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CD34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8pt;margin-top:15.15pt;width:221.7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p2EdAIAAFkFAAAOAAAAZHJzL2Uyb0RvYy54bWysVE1PGzEQvVfqf7B8L5tE0ELEBqUgqkoI&#10;EKHi7HhtsqrX49pOdtNf32fvJqS0F6pevN6ZN19vZnx+0TWGbZQPNdmSj49GnCkrqartc8m/PV5/&#10;OOUsRGErYciqkm9V4Bez9+/OWzdVE1qRqZRncGLDtHUlX8XopkUR5Eo1IhyRUxZKTb4REb/+uai8&#10;aOG9McVkNPpYtOQr50mqECC96pV8lv1rrWS80zqoyEzJkVvMp8/nMp3F7FxMn71wq1oOaYh/yKIR&#10;tUXQvasrEQVb+/oPV00tPQXS8UhSU5DWtVS5BlQzHr2qZrESTuVaQE5we5rC/3Mrbzf3ntVVySec&#10;WdGgRY+qi+wzdWyS2GldmAK0cIDFDmJ0eScPEKaiO+2b9EU5DHrwvN1zm5xJCCen45OTM6gkdGfj&#10;4+NRJr94sXY+xC+KGpYuJffoXaZUbG5CRCaA7iApmKXr2pjcP2N/EwDYS1QegME6FdInnG9xa1Sy&#10;MvZBaRCQ806CPHrq0ni2ERgaIaWyMZec/QKdUBqx32I44JNpn9VbjPcWOTLZuDduaks+s/Qq7er7&#10;LmXd48HfQd3pGrtlNzR4SdUW/fXU70dw8rpGE25EiPfCYyHQNyx5vMOhDbUlp+HG2Yr8z7/JEx5z&#10;Ci1nLRas5OHHWnjFmflqMcF5BrCR+ef45NMEMfyhZnmosevmktCOMZ4TJ/M14aPZXbWn5glvwTxF&#10;hUpYidglj7vrZezXHm+JVPN5BmEHnYg3duFkcp3oTSP22D0J74Y5jJjgW9qtopi+GscemywtzdeR&#10;dJ1nNRHcszoQj/3NIzy8NemBOPzPqJcXcfYLAAD//wMAUEsDBBQABgAIAAAAIQCReQd23wAAAAoB&#10;AAAPAAAAZHJzL2Rvd25yZXYueG1sTI/BTsMwEETvSPyDtUjcqN0mtCTEqRCIK6gtIHFz420SNV5H&#10;sduEv2c50eNqn2beFOvJdeKMQ2g9aZjPFAikytuWag0fu9e7BxAhGrKm84QafjDAury+Kkxu/Ugb&#10;PG9jLTiEQm40NDH2uZShatCZMPM9Ev8OfnAm8jnU0g5m5HDXyYVSS+lMS9zQmB6fG6yO25PT8Pl2&#10;+P5K1Xv94u770U9Kksuk1rc309MjiIhT/IfhT5/VoWSnvT+RDaLTkK6WvCVqSFQCgoFsnqUg9kyu&#10;0gRkWcjLCeUvAAAA//8DAFBLAQItABQABgAIAAAAIQC2gziS/gAAAOEBAAATAAAAAAAAAAAAAAAA&#10;AAAAAABbQ29udGVudF9UeXBlc10ueG1sUEsBAi0AFAAGAAgAAAAhADj9If/WAAAAlAEAAAsAAAAA&#10;AAAAAAAAAAAALwEAAF9yZWxzLy5yZWxzUEsBAi0AFAAGAAgAAAAhAAXmnYR0AgAAWQUAAA4AAAAA&#10;AAAAAAAAAAAALgIAAGRycy9lMm9Eb2MueG1sUEsBAi0AFAAGAAgAAAAhAJF5B3bfAAAACgEAAA8A&#10;AAAAAAAAAAAAAAAAzgQAAGRycy9kb3ducmV2LnhtbFBLBQYAAAAABAAEAPMAAADaBQAAAAA=&#10;" filled="f" stroked="f">
              <v:textbox>
                <w:txbxContent>
                  <w:p w:rsidR="006973EB" w:rsidRPr="00A417D6" w:rsidRDefault="00DF4A32" w:rsidP="005C485F">
                    <w:pPr>
                      <w:pStyle w:val="Heading1"/>
                      <w:jc w:val="right"/>
                      <w:rPr>
                        <w:b/>
                        <w:color w:val="00448F"/>
                        <w:lang w:val="nl-NL"/>
                      </w:rPr>
                    </w:pPr>
                    <w:r>
                      <w:rPr>
                        <w:b/>
                        <w:color w:val="00448F"/>
                        <w:lang w:val="nl-NL"/>
                      </w:rPr>
                      <w:t xml:space="preserve">JIVE </w:t>
                    </w:r>
                    <w:r w:rsidR="00F00EAA">
                      <w:rPr>
                        <w:b/>
                        <w:color w:val="00448F"/>
                        <w:lang w:val="nl-NL"/>
                      </w:rPr>
                      <w:t xml:space="preserve">Communication </w:t>
                    </w:r>
                    <w:proofErr w:type="spellStart"/>
                    <w:r w:rsidR="00F00EAA">
                      <w:rPr>
                        <w:b/>
                        <w:color w:val="00448F"/>
                        <w:lang w:val="nl-NL"/>
                      </w:rPr>
                      <w:t>Guidelines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D37FA19" wp14:editId="17828034">
          <wp:simplePos x="0" y="0"/>
          <wp:positionH relativeFrom="margin">
            <wp:posOffset>-248285</wp:posOffset>
          </wp:positionH>
          <wp:positionV relativeFrom="margin">
            <wp:posOffset>-907415</wp:posOffset>
          </wp:positionV>
          <wp:extent cx="3498850" cy="1300480"/>
          <wp:effectExtent l="0" t="0" r="6350" b="0"/>
          <wp:wrapTight wrapText="bothSides">
            <wp:wrapPolygon edited="1">
              <wp:start x="0" y="0"/>
              <wp:lineTo x="0" y="21094"/>
              <wp:lineTo x="37273" y="20925"/>
              <wp:lineTo x="21482" y="0"/>
              <wp:lineTo x="0" y="0"/>
            </wp:wrapPolygon>
          </wp:wrapTight>
          <wp:docPr id="1" name="Picture 1" descr="../../../../Desktop/jiv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Desktop/jiv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850" cy="1300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45DA0"/>
    <w:multiLevelType w:val="hybridMultilevel"/>
    <w:tmpl w:val="24346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AA"/>
    <w:rsid w:val="000B347A"/>
    <w:rsid w:val="001A1618"/>
    <w:rsid w:val="001B3F17"/>
    <w:rsid w:val="00217B59"/>
    <w:rsid w:val="002F37FC"/>
    <w:rsid w:val="003B7FBC"/>
    <w:rsid w:val="005B5624"/>
    <w:rsid w:val="007E4F5F"/>
    <w:rsid w:val="00831037"/>
    <w:rsid w:val="008D1BFF"/>
    <w:rsid w:val="00945B35"/>
    <w:rsid w:val="00A5565F"/>
    <w:rsid w:val="00A972BB"/>
    <w:rsid w:val="00C53304"/>
    <w:rsid w:val="00D2683A"/>
    <w:rsid w:val="00DF4A32"/>
    <w:rsid w:val="00F00EAA"/>
    <w:rsid w:val="00F0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3C41A"/>
  <w15:chartTrackingRefBased/>
  <w15:docId w15:val="{E8B214B4-8F5B-4921-8AE9-99C089EF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EAA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E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E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00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EAA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00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EAA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00EAA"/>
    <w:pPr>
      <w:ind w:left="720"/>
      <w:contextualSpacing/>
    </w:pPr>
  </w:style>
  <w:style w:type="table" w:styleId="TableGrid">
    <w:name w:val="Table Grid"/>
    <w:basedOn w:val="TableNormal"/>
    <w:uiPriority w:val="39"/>
    <w:rsid w:val="00F00EAA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0E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ffey@jive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munications@jive.e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Stichting ASTRON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Maffey</dc:creator>
  <cp:keywords/>
  <dc:description/>
  <cp:lastModifiedBy>Gina Maffey</cp:lastModifiedBy>
  <cp:revision>3</cp:revision>
  <dcterms:created xsi:type="dcterms:W3CDTF">2018-09-19T09:09:00Z</dcterms:created>
  <dcterms:modified xsi:type="dcterms:W3CDTF">2018-09-19T09:11:00Z</dcterms:modified>
</cp:coreProperties>
</file>